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951" w:rsidRDefault="001A1BD0" w:rsidP="0039640C">
      <w:pPr>
        <w:jc w:val="both"/>
        <w:rPr>
          <w:rFonts w:ascii="Times New Roman" w:hAnsi="Times New Roman"/>
          <w:noProof/>
          <w:lang w:eastAsia="fr-FR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>
            <wp:extent cx="2569541" cy="781050"/>
            <wp:effectExtent l="19050" t="0" r="2209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41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640C">
        <w:rPr>
          <w:rFonts w:ascii="Times New Roman" w:hAnsi="Times New Roman"/>
          <w:noProof/>
          <w:lang w:eastAsia="fr-FR"/>
        </w:rPr>
        <w:tab/>
      </w:r>
      <w:r w:rsidR="0039640C">
        <w:rPr>
          <w:rFonts w:ascii="Times New Roman" w:hAnsi="Times New Roman"/>
          <w:noProof/>
          <w:lang w:eastAsia="fr-FR"/>
        </w:rPr>
        <w:tab/>
      </w:r>
      <w:r w:rsidR="0039640C">
        <w:rPr>
          <w:rFonts w:ascii="Times New Roman" w:hAnsi="Times New Roman"/>
          <w:noProof/>
          <w:lang w:eastAsia="fr-FR"/>
        </w:rPr>
        <w:tab/>
      </w:r>
      <w:r w:rsidR="0039640C">
        <w:rPr>
          <w:rFonts w:ascii="Times New Roman" w:hAnsi="Times New Roman"/>
          <w:noProof/>
          <w:lang w:eastAsia="fr-FR"/>
        </w:rPr>
        <w:tab/>
      </w:r>
      <w:r w:rsidR="005C2BCA">
        <w:rPr>
          <w:rFonts w:ascii="Times New Roman" w:hAnsi="Times New Roman"/>
          <w:noProof/>
          <w:lang w:eastAsia="fr-FR"/>
        </w:rPr>
        <w:tab/>
      </w:r>
      <w:r w:rsidR="000E0FF2" w:rsidRPr="000E0FF2">
        <w:rPr>
          <w:rFonts w:ascii="Times New Roman" w:hAnsi="Times New Roman"/>
          <w:noProof/>
          <w:lang w:eastAsia="fr-FR"/>
        </w:rPr>
        <w:drawing>
          <wp:inline distT="0" distB="0" distL="0" distR="0">
            <wp:extent cx="2070199" cy="1019175"/>
            <wp:effectExtent l="0" t="0" r="0" b="0"/>
            <wp:docPr id="4" name="Image 4" descr="C:\Users\VMBB\Documents\manuella\CEDCACE\Logos CEDCACE\cedcace-logo-011-2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MBB\Documents\manuella\CEDCACE\Logos CEDCACE\cedcace-logo-011-2-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230" cy="102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640C">
        <w:rPr>
          <w:rFonts w:ascii="Times New Roman" w:hAnsi="Times New Roman"/>
          <w:noProof/>
          <w:lang w:eastAsia="fr-FR"/>
        </w:rPr>
        <w:tab/>
      </w:r>
      <w:r w:rsidR="0039640C">
        <w:rPr>
          <w:rFonts w:ascii="Times New Roman" w:hAnsi="Times New Roman"/>
          <w:noProof/>
          <w:lang w:eastAsia="fr-FR"/>
        </w:rPr>
        <w:tab/>
      </w:r>
    </w:p>
    <w:p w:rsidR="001A1BD0" w:rsidRDefault="001A1BD0" w:rsidP="001A1BD0">
      <w:pPr>
        <w:jc w:val="both"/>
        <w:rPr>
          <w:rFonts w:ascii="Times New Roman" w:hAnsi="Times New Roman"/>
          <w:noProof/>
          <w:lang w:eastAsia="fr-FR"/>
        </w:rPr>
      </w:pPr>
    </w:p>
    <w:p w:rsidR="001A1BD0" w:rsidRPr="001A1BD0" w:rsidRDefault="005C2BCA" w:rsidP="001A1BD0">
      <w:pPr>
        <w:jc w:val="center"/>
        <w:rPr>
          <w:rFonts w:ascii="Book Antiqua" w:hAnsi="Book Antiqua" w:cs="Arial"/>
          <w:color w:val="000000"/>
          <w:sz w:val="24"/>
          <w:szCs w:val="24"/>
        </w:rPr>
      </w:pPr>
      <w:r>
        <w:rPr>
          <w:rFonts w:ascii="Book Antiqua" w:hAnsi="Book Antiqua" w:cs="Arial"/>
          <w:b/>
          <w:bCs/>
          <w:color w:val="000000"/>
          <w:sz w:val="24"/>
          <w:szCs w:val="24"/>
        </w:rPr>
        <w:t>A</w:t>
      </w:r>
      <w:r w:rsidR="001A1BD0" w:rsidRPr="001A1BD0">
        <w:rPr>
          <w:rFonts w:ascii="Book Antiqua" w:hAnsi="Book Antiqua" w:cs="Arial"/>
          <w:b/>
          <w:bCs/>
          <w:color w:val="000000"/>
          <w:sz w:val="24"/>
          <w:szCs w:val="24"/>
        </w:rPr>
        <w:t>telier</w:t>
      </w:r>
      <w:r>
        <w:rPr>
          <w:rFonts w:ascii="Book Antiqua" w:hAnsi="Book Antiqua" w:cs="Arial"/>
          <w:b/>
          <w:bCs/>
          <w:color w:val="000000"/>
          <w:sz w:val="24"/>
          <w:szCs w:val="24"/>
        </w:rPr>
        <w:t>s</w:t>
      </w:r>
      <w:r w:rsidR="001A1BD0" w:rsidRPr="001A1BD0">
        <w:rPr>
          <w:rFonts w:ascii="Book Antiqua" w:hAnsi="Book Antiqua" w:cs="Arial"/>
          <w:b/>
          <w:bCs/>
          <w:color w:val="000000"/>
          <w:sz w:val="24"/>
          <w:szCs w:val="24"/>
        </w:rPr>
        <w:t xml:space="preserve"> du notariat</w:t>
      </w:r>
    </w:p>
    <w:p w:rsidR="001A1BD0" w:rsidRPr="00F83710" w:rsidRDefault="001A1BD0" w:rsidP="001A1BD0">
      <w:pPr>
        <w:jc w:val="center"/>
        <w:rPr>
          <w:rFonts w:ascii="Book Antiqua" w:hAnsi="Book Antiqua" w:cs="Arial"/>
          <w:b/>
          <w:bCs/>
          <w:color w:val="943634" w:themeColor="accent2" w:themeShade="BF"/>
          <w:sz w:val="24"/>
          <w:szCs w:val="24"/>
        </w:rPr>
      </w:pPr>
      <w:r w:rsidRPr="00F83710">
        <w:rPr>
          <w:rFonts w:ascii="Book Antiqua" w:hAnsi="Book Antiqua" w:cs="Arial"/>
          <w:b/>
          <w:bCs/>
          <w:color w:val="943634" w:themeColor="accent2" w:themeShade="BF"/>
          <w:sz w:val="24"/>
          <w:szCs w:val="24"/>
        </w:rPr>
        <w:t>Cycle de conférences "Droit des affaires et droit patrimonial de la famille"</w:t>
      </w:r>
    </w:p>
    <w:p w:rsidR="005C2BCA" w:rsidRDefault="005C2BCA" w:rsidP="001A1BD0">
      <w:pPr>
        <w:jc w:val="center"/>
        <w:rPr>
          <w:rFonts w:ascii="Book Antiqua" w:hAnsi="Book Antiqua" w:cs="Arial"/>
          <w:b/>
          <w:bCs/>
          <w:color w:val="000000"/>
          <w:sz w:val="24"/>
          <w:szCs w:val="24"/>
        </w:rPr>
      </w:pPr>
      <w:proofErr w:type="gramStart"/>
      <w:r>
        <w:rPr>
          <w:rFonts w:ascii="Book Antiqua" w:hAnsi="Book Antiqua" w:cs="Arial"/>
          <w:b/>
          <w:bCs/>
          <w:color w:val="000000"/>
          <w:sz w:val="24"/>
          <w:szCs w:val="24"/>
        </w:rPr>
        <w:t>organisé</w:t>
      </w:r>
      <w:proofErr w:type="gramEnd"/>
      <w:r>
        <w:rPr>
          <w:rFonts w:ascii="Book Antiqua" w:hAnsi="Book Antiqua" w:cs="Arial"/>
          <w:b/>
          <w:bCs/>
          <w:color w:val="000000"/>
          <w:sz w:val="24"/>
          <w:szCs w:val="24"/>
        </w:rPr>
        <w:t xml:space="preserve"> par le Centre de droit civil des affaires et du contentieux économique</w:t>
      </w:r>
      <w:r w:rsidR="00DD3E9D">
        <w:rPr>
          <w:rFonts w:ascii="Book Antiqua" w:hAnsi="Book Antiqua" w:cs="Arial"/>
          <w:b/>
          <w:bCs/>
          <w:color w:val="000000"/>
          <w:sz w:val="24"/>
          <w:szCs w:val="24"/>
        </w:rPr>
        <w:t xml:space="preserve"> (Paris ouest)</w:t>
      </w:r>
    </w:p>
    <w:p w:rsidR="00DD3E9D" w:rsidRPr="001A1BD0" w:rsidRDefault="00DD3E9D" w:rsidP="001A1BD0">
      <w:pPr>
        <w:jc w:val="center"/>
        <w:rPr>
          <w:rFonts w:ascii="Book Antiqua" w:hAnsi="Book Antiqua"/>
          <w:noProof/>
          <w:sz w:val="24"/>
          <w:szCs w:val="24"/>
          <w:lang w:eastAsia="fr-FR"/>
        </w:rPr>
      </w:pPr>
      <w:proofErr w:type="gramStart"/>
      <w:r>
        <w:rPr>
          <w:rFonts w:ascii="Book Antiqua" w:hAnsi="Book Antiqua" w:cs="Arial"/>
          <w:b/>
          <w:bCs/>
          <w:color w:val="000000"/>
          <w:sz w:val="24"/>
          <w:szCs w:val="24"/>
        </w:rPr>
        <w:t>et</w:t>
      </w:r>
      <w:proofErr w:type="gramEnd"/>
      <w:r>
        <w:rPr>
          <w:rFonts w:ascii="Book Antiqua" w:hAnsi="Book Antiqua" w:cs="Arial"/>
          <w:b/>
          <w:bCs/>
          <w:color w:val="000000"/>
          <w:sz w:val="24"/>
          <w:szCs w:val="24"/>
        </w:rPr>
        <w:t xml:space="preserve"> le Centre de droit des affaires et de gestion (Paris V)</w:t>
      </w:r>
    </w:p>
    <w:p w:rsidR="005C2BCA" w:rsidRDefault="005C2BCA" w:rsidP="001A1BD0">
      <w:pPr>
        <w:jc w:val="both"/>
        <w:rPr>
          <w:rFonts w:ascii="Times New Roman" w:hAnsi="Times New Roman"/>
          <w:noProof/>
          <w:lang w:eastAsia="fr-FR"/>
        </w:rPr>
      </w:pPr>
    </w:p>
    <w:p w:rsidR="005C2BCA" w:rsidRPr="005C2BCA" w:rsidRDefault="005C2BCA" w:rsidP="001A1BD0">
      <w:pPr>
        <w:pStyle w:val="Default"/>
        <w:jc w:val="center"/>
        <w:rPr>
          <w:rFonts w:ascii="Book Antiqua" w:hAnsi="Book Antiqua" w:cs="Book Antiqua"/>
          <w:b/>
          <w:bCs/>
          <w:i/>
          <w:iCs/>
          <w:color w:val="943634" w:themeColor="accent2" w:themeShade="BF"/>
        </w:rPr>
      </w:pPr>
    </w:p>
    <w:p w:rsidR="001A1BD0" w:rsidRPr="009166E9" w:rsidRDefault="001A1BD0" w:rsidP="005C2BC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 Antiqua" w:hAnsi="Book Antiqua" w:cs="Book Antiqua"/>
          <w:b/>
          <w:bCs/>
          <w:i/>
          <w:iCs/>
          <w:color w:val="943634" w:themeColor="accent2" w:themeShade="BF"/>
          <w:sz w:val="52"/>
          <w:szCs w:val="52"/>
        </w:rPr>
      </w:pPr>
      <w:r w:rsidRPr="009166E9">
        <w:rPr>
          <w:rFonts w:ascii="Book Antiqua" w:hAnsi="Book Antiqua" w:cs="Book Antiqua"/>
          <w:b/>
          <w:bCs/>
          <w:i/>
          <w:iCs/>
          <w:color w:val="943634" w:themeColor="accent2" w:themeShade="BF"/>
          <w:sz w:val="52"/>
          <w:szCs w:val="52"/>
        </w:rPr>
        <w:t xml:space="preserve">Le droit des couples </w:t>
      </w:r>
      <w:r w:rsidR="009166E9" w:rsidRPr="009166E9">
        <w:rPr>
          <w:rFonts w:ascii="Book Antiqua" w:hAnsi="Book Antiqua" w:cs="Book Antiqua"/>
          <w:b/>
          <w:bCs/>
          <w:i/>
          <w:iCs/>
          <w:color w:val="943634" w:themeColor="accent2" w:themeShade="BF"/>
          <w:sz w:val="52"/>
          <w:szCs w:val="52"/>
        </w:rPr>
        <w:br/>
      </w:r>
      <w:r w:rsidRPr="009166E9">
        <w:rPr>
          <w:rFonts w:ascii="Book Antiqua" w:hAnsi="Book Antiqua" w:cs="Book Antiqua"/>
          <w:b/>
          <w:bCs/>
          <w:i/>
          <w:iCs/>
          <w:color w:val="943634" w:themeColor="accent2" w:themeShade="BF"/>
          <w:sz w:val="52"/>
          <w:szCs w:val="52"/>
        </w:rPr>
        <w:t xml:space="preserve">à l'épreuve des instruments originaux </w:t>
      </w:r>
      <w:r w:rsidR="009166E9" w:rsidRPr="009166E9">
        <w:rPr>
          <w:rFonts w:ascii="Book Antiqua" w:hAnsi="Book Antiqua" w:cs="Book Antiqua"/>
          <w:b/>
          <w:bCs/>
          <w:i/>
          <w:iCs/>
          <w:color w:val="943634" w:themeColor="accent2" w:themeShade="BF"/>
          <w:sz w:val="52"/>
          <w:szCs w:val="52"/>
        </w:rPr>
        <w:br/>
      </w:r>
      <w:r w:rsidRPr="009166E9">
        <w:rPr>
          <w:rFonts w:ascii="Book Antiqua" w:hAnsi="Book Antiqua" w:cs="Book Antiqua"/>
          <w:b/>
          <w:bCs/>
          <w:i/>
          <w:iCs/>
          <w:color w:val="943634" w:themeColor="accent2" w:themeShade="BF"/>
          <w:sz w:val="52"/>
          <w:szCs w:val="52"/>
        </w:rPr>
        <w:t>du droit des sociétés</w:t>
      </w:r>
    </w:p>
    <w:p w:rsidR="005C2BCA" w:rsidRDefault="005C2BCA" w:rsidP="005C2BCA">
      <w:pPr>
        <w:jc w:val="center"/>
        <w:rPr>
          <w:rFonts w:ascii="Book Antiqua" w:hAnsi="Book Antiqua" w:cs="Book Antiqua"/>
          <w:b/>
          <w:bCs/>
          <w:i/>
          <w:iCs/>
          <w:sz w:val="40"/>
          <w:szCs w:val="40"/>
        </w:rPr>
      </w:pPr>
    </w:p>
    <w:p w:rsidR="005C2BCA" w:rsidRPr="005C2BCA" w:rsidRDefault="001A1BD0" w:rsidP="005C2BCA">
      <w:pPr>
        <w:jc w:val="center"/>
        <w:rPr>
          <w:rFonts w:ascii="Book Antiqua" w:hAnsi="Book Antiqua"/>
          <w:b/>
          <w:bCs/>
          <w:color w:val="000000" w:themeColor="text1"/>
          <w:sz w:val="28"/>
          <w:szCs w:val="28"/>
          <w:u w:val="single"/>
        </w:rPr>
      </w:pPr>
      <w:r w:rsidRPr="005C2BCA">
        <w:rPr>
          <w:rFonts w:ascii="Book Antiqua" w:hAnsi="Book Antiqua" w:cs="Book Antiqua"/>
          <w:b/>
          <w:bCs/>
          <w:i/>
          <w:iCs/>
          <w:color w:val="000000" w:themeColor="text1"/>
          <w:sz w:val="40"/>
          <w:szCs w:val="40"/>
        </w:rPr>
        <w:t xml:space="preserve"> </w:t>
      </w:r>
      <w:r w:rsidR="005C2BCA" w:rsidRPr="005C2BCA">
        <w:rPr>
          <w:rFonts w:ascii="Book Antiqua" w:eastAsia="Calibri" w:hAnsi="Book Antiqua" w:cs="Times New Roman"/>
          <w:b/>
          <w:bCs/>
          <w:color w:val="000000" w:themeColor="text1"/>
          <w:sz w:val="28"/>
          <w:szCs w:val="28"/>
          <w:u w:val="single"/>
        </w:rPr>
        <w:t>Propos introductifs</w:t>
      </w:r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i/>
          <w:color w:val="000000" w:themeColor="text1"/>
        </w:rPr>
      </w:pPr>
      <w:r w:rsidRPr="005C2BCA">
        <w:rPr>
          <w:rFonts w:ascii="Book Antiqua" w:eastAsia="Calibri" w:hAnsi="Book Antiqua" w:cs="Times New Roman"/>
          <w:b/>
          <w:i/>
          <w:color w:val="000000" w:themeColor="text1"/>
        </w:rPr>
        <w:t xml:space="preserve">Gérard </w:t>
      </w:r>
      <w:r w:rsidRPr="005C2BCA">
        <w:rPr>
          <w:rFonts w:ascii="Book Antiqua" w:hAnsi="Book Antiqua"/>
          <w:b/>
          <w:i/>
          <w:color w:val="000000" w:themeColor="text1"/>
        </w:rPr>
        <w:t>CHAMPENOIS</w:t>
      </w:r>
      <w:r w:rsidRPr="005C2BCA">
        <w:rPr>
          <w:rFonts w:ascii="Book Antiqua" w:eastAsia="Calibri" w:hAnsi="Book Antiqua" w:cs="Times New Roman"/>
          <w:i/>
          <w:color w:val="000000" w:themeColor="text1"/>
        </w:rPr>
        <w:t>, Professeur émérite de l’Université Panthéon-Assas</w:t>
      </w:r>
    </w:p>
    <w:p w:rsidR="005C2BCA" w:rsidRPr="005C2BCA" w:rsidRDefault="005C2BCA" w:rsidP="005C2BCA">
      <w:pPr>
        <w:jc w:val="center"/>
        <w:rPr>
          <w:rFonts w:ascii="Book Antiqua" w:hAnsi="Book Antiqua"/>
          <w:color w:val="000000" w:themeColor="text1"/>
        </w:rPr>
      </w:pPr>
    </w:p>
    <w:p w:rsidR="005C2BCA" w:rsidRPr="005C2BCA" w:rsidRDefault="005C2BCA" w:rsidP="005C2BCA">
      <w:pPr>
        <w:jc w:val="center"/>
        <w:rPr>
          <w:rFonts w:ascii="Book Antiqua" w:hAnsi="Book Antiqua"/>
          <w:b/>
          <w:color w:val="000000" w:themeColor="text1"/>
          <w:sz w:val="28"/>
          <w:szCs w:val="28"/>
          <w:u w:val="single"/>
        </w:rPr>
      </w:pPr>
      <w:r w:rsidRPr="005C2BCA">
        <w:rPr>
          <w:rFonts w:ascii="Book Antiqua" w:hAnsi="Book Antiqua"/>
          <w:b/>
          <w:color w:val="000000" w:themeColor="text1"/>
          <w:sz w:val="28"/>
          <w:szCs w:val="28"/>
          <w:u w:val="single"/>
        </w:rPr>
        <w:t xml:space="preserve">I- </w:t>
      </w:r>
      <w:r w:rsidRPr="005C2BCA">
        <w:rPr>
          <w:rFonts w:ascii="Book Antiqua" w:eastAsia="Calibri" w:hAnsi="Book Antiqua" w:cs="Times New Roman"/>
          <w:b/>
          <w:color w:val="000000" w:themeColor="text1"/>
          <w:sz w:val="28"/>
          <w:szCs w:val="28"/>
          <w:u w:val="single"/>
        </w:rPr>
        <w:t xml:space="preserve">Les catégories du régime légal </w:t>
      </w:r>
      <w:r w:rsidRPr="005C2BCA">
        <w:rPr>
          <w:rFonts w:ascii="Book Antiqua" w:hAnsi="Book Antiqua"/>
          <w:b/>
          <w:color w:val="000000" w:themeColor="text1"/>
          <w:sz w:val="28"/>
          <w:szCs w:val="28"/>
          <w:u w:val="single"/>
        </w:rPr>
        <w:br/>
      </w:r>
      <w:r w:rsidRPr="005C2BCA">
        <w:rPr>
          <w:rFonts w:ascii="Book Antiqua" w:eastAsia="Calibri" w:hAnsi="Book Antiqua" w:cs="Times New Roman"/>
          <w:b/>
          <w:color w:val="000000" w:themeColor="text1"/>
          <w:sz w:val="28"/>
          <w:szCs w:val="28"/>
          <w:u w:val="single"/>
        </w:rPr>
        <w:t>à l'épreuve de la société par actions simplifiée</w:t>
      </w:r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i/>
          <w:color w:val="000000" w:themeColor="text1"/>
        </w:rPr>
      </w:pPr>
      <w:r w:rsidRPr="005C2BCA">
        <w:rPr>
          <w:rFonts w:ascii="Book Antiqua" w:eastAsia="Calibri" w:hAnsi="Book Antiqua" w:cs="Times New Roman"/>
          <w:b/>
          <w:i/>
          <w:color w:val="000000" w:themeColor="text1"/>
        </w:rPr>
        <w:t xml:space="preserve">Clothilde </w:t>
      </w:r>
      <w:r w:rsidRPr="005C2BCA">
        <w:rPr>
          <w:rFonts w:ascii="Book Antiqua" w:hAnsi="Book Antiqua"/>
          <w:b/>
          <w:i/>
          <w:color w:val="000000" w:themeColor="text1"/>
        </w:rPr>
        <w:t>GRARE-DIDIER</w:t>
      </w:r>
      <w:r w:rsidRPr="005C2BCA">
        <w:rPr>
          <w:rFonts w:ascii="Book Antiqua" w:eastAsia="Calibri" w:hAnsi="Book Antiqua" w:cs="Times New Roman"/>
          <w:i/>
          <w:color w:val="000000" w:themeColor="text1"/>
        </w:rPr>
        <w:t>, Professeur à l’Université Paris-Descartes</w:t>
      </w:r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i/>
          <w:color w:val="000000" w:themeColor="text1"/>
        </w:rPr>
      </w:pPr>
      <w:r w:rsidRPr="005C2BCA">
        <w:rPr>
          <w:rFonts w:ascii="Book Antiqua" w:eastAsia="Calibri" w:hAnsi="Book Antiqua" w:cs="Times New Roman"/>
          <w:b/>
          <w:i/>
          <w:color w:val="000000" w:themeColor="text1"/>
        </w:rPr>
        <w:t xml:space="preserve">David </w:t>
      </w:r>
      <w:r w:rsidRPr="005C2BCA">
        <w:rPr>
          <w:rFonts w:ascii="Book Antiqua" w:hAnsi="Book Antiqua"/>
          <w:b/>
          <w:i/>
          <w:color w:val="000000" w:themeColor="text1"/>
        </w:rPr>
        <w:t>ROBINE</w:t>
      </w:r>
      <w:r w:rsidRPr="005C2BCA">
        <w:rPr>
          <w:rFonts w:ascii="Book Antiqua" w:eastAsia="Calibri" w:hAnsi="Book Antiqua" w:cs="Times New Roman"/>
          <w:i/>
          <w:color w:val="000000" w:themeColor="text1"/>
        </w:rPr>
        <w:t>, Professeur à l’Université Paris Ouest Nanterre la Défense</w:t>
      </w:r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color w:val="000000" w:themeColor="text1"/>
        </w:rPr>
      </w:pPr>
    </w:p>
    <w:p w:rsidR="005C2BCA" w:rsidRPr="005C2BCA" w:rsidRDefault="005C2BCA" w:rsidP="005C2BCA">
      <w:pPr>
        <w:jc w:val="center"/>
        <w:rPr>
          <w:rFonts w:ascii="Book Antiqua" w:hAnsi="Book Antiqua"/>
          <w:b/>
          <w:color w:val="000000" w:themeColor="text1"/>
          <w:sz w:val="28"/>
          <w:szCs w:val="28"/>
          <w:u w:val="single"/>
        </w:rPr>
      </w:pPr>
      <w:r w:rsidRPr="005C2BCA">
        <w:rPr>
          <w:rFonts w:ascii="Book Antiqua" w:hAnsi="Book Antiqua"/>
          <w:b/>
          <w:color w:val="000000" w:themeColor="text1"/>
          <w:sz w:val="28"/>
          <w:szCs w:val="28"/>
          <w:u w:val="single"/>
        </w:rPr>
        <w:t xml:space="preserve">II- </w:t>
      </w:r>
      <w:r w:rsidRPr="005C2BCA">
        <w:rPr>
          <w:rFonts w:ascii="Book Antiqua" w:eastAsia="Calibri" w:hAnsi="Book Antiqua" w:cs="Times New Roman"/>
          <w:b/>
          <w:color w:val="000000" w:themeColor="text1"/>
          <w:sz w:val="28"/>
          <w:szCs w:val="28"/>
          <w:u w:val="single"/>
        </w:rPr>
        <w:t xml:space="preserve">Le statut des gains et salaires dans les régimes participatifs </w:t>
      </w:r>
      <w:r w:rsidRPr="005C2BCA">
        <w:rPr>
          <w:rFonts w:ascii="Book Antiqua" w:hAnsi="Book Antiqua"/>
          <w:b/>
          <w:color w:val="000000" w:themeColor="text1"/>
          <w:sz w:val="28"/>
          <w:szCs w:val="28"/>
          <w:u w:val="single"/>
        </w:rPr>
        <w:br/>
      </w:r>
      <w:r w:rsidRPr="005C2BCA">
        <w:rPr>
          <w:rFonts w:ascii="Book Antiqua" w:eastAsia="Calibri" w:hAnsi="Book Antiqua" w:cs="Times New Roman"/>
          <w:b/>
          <w:color w:val="000000" w:themeColor="text1"/>
          <w:sz w:val="28"/>
          <w:szCs w:val="28"/>
          <w:u w:val="single"/>
        </w:rPr>
        <w:t>à l'épreuve des rémunérations spéciales en droit des sociétés</w:t>
      </w:r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i/>
          <w:color w:val="000000" w:themeColor="text1"/>
        </w:rPr>
      </w:pPr>
      <w:r w:rsidRPr="005C2BCA">
        <w:rPr>
          <w:rFonts w:ascii="Book Antiqua" w:eastAsia="Calibri" w:hAnsi="Book Antiqua" w:cs="Times New Roman"/>
          <w:b/>
          <w:i/>
          <w:color w:val="000000" w:themeColor="text1"/>
        </w:rPr>
        <w:t xml:space="preserve">Isabelle </w:t>
      </w:r>
      <w:r w:rsidRPr="005C2BCA">
        <w:rPr>
          <w:rFonts w:ascii="Book Antiqua" w:hAnsi="Book Antiqua"/>
          <w:b/>
          <w:i/>
          <w:color w:val="000000" w:themeColor="text1"/>
        </w:rPr>
        <w:t>DAURIAC</w:t>
      </w:r>
      <w:r w:rsidRPr="005C2BCA">
        <w:rPr>
          <w:rFonts w:ascii="Book Antiqua" w:eastAsia="Calibri" w:hAnsi="Book Antiqua" w:cs="Times New Roman"/>
          <w:i/>
          <w:color w:val="000000" w:themeColor="text1"/>
        </w:rPr>
        <w:t>, Professeur à l’Université Paris-Descartes</w:t>
      </w:r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i/>
          <w:color w:val="000000" w:themeColor="text1"/>
        </w:rPr>
      </w:pPr>
      <w:r w:rsidRPr="005C2BCA">
        <w:rPr>
          <w:rFonts w:ascii="Book Antiqua" w:eastAsia="Calibri" w:hAnsi="Book Antiqua" w:cs="Times New Roman"/>
          <w:b/>
          <w:i/>
          <w:color w:val="000000" w:themeColor="text1"/>
        </w:rPr>
        <w:t xml:space="preserve">Marc </w:t>
      </w:r>
      <w:r w:rsidRPr="005C2BCA">
        <w:rPr>
          <w:rFonts w:ascii="Book Antiqua" w:hAnsi="Book Antiqua"/>
          <w:b/>
          <w:i/>
          <w:color w:val="000000" w:themeColor="text1"/>
        </w:rPr>
        <w:t>PICHARD</w:t>
      </w:r>
      <w:r w:rsidRPr="005C2BCA">
        <w:rPr>
          <w:rFonts w:ascii="Book Antiqua" w:eastAsia="Calibri" w:hAnsi="Book Antiqua" w:cs="Times New Roman"/>
          <w:i/>
          <w:color w:val="000000" w:themeColor="text1"/>
        </w:rPr>
        <w:t>, Professeur à l’Université Paris Ouest Nanterre la Défense</w:t>
      </w:r>
      <w:bookmarkStart w:id="0" w:name="_GoBack"/>
    </w:p>
    <w:p w:rsidR="005C2BCA" w:rsidRPr="005C2BCA" w:rsidRDefault="005C2BCA" w:rsidP="005C2BCA">
      <w:pPr>
        <w:jc w:val="center"/>
        <w:rPr>
          <w:rFonts w:ascii="Book Antiqua" w:eastAsia="Calibri" w:hAnsi="Book Antiqua" w:cs="Times New Roman"/>
          <w:color w:val="000000" w:themeColor="text1"/>
        </w:rPr>
      </w:pPr>
    </w:p>
    <w:bookmarkEnd w:id="0"/>
    <w:p w:rsidR="005C2BCA" w:rsidRPr="005C2BCA" w:rsidRDefault="005C2BCA" w:rsidP="005C2BCA">
      <w:pPr>
        <w:jc w:val="center"/>
        <w:rPr>
          <w:rFonts w:ascii="Book Antiqua" w:hAnsi="Book Antiqua"/>
          <w:b/>
          <w:color w:val="000000" w:themeColor="text1"/>
          <w:sz w:val="28"/>
          <w:szCs w:val="28"/>
          <w:u w:val="single"/>
        </w:rPr>
      </w:pPr>
      <w:r w:rsidRPr="005C2BCA">
        <w:rPr>
          <w:rFonts w:ascii="Book Antiqua" w:hAnsi="Book Antiqua"/>
          <w:b/>
          <w:color w:val="000000" w:themeColor="text1"/>
          <w:sz w:val="28"/>
          <w:szCs w:val="28"/>
          <w:u w:val="single"/>
        </w:rPr>
        <w:t xml:space="preserve">III- </w:t>
      </w:r>
      <w:r w:rsidRPr="005C2BCA">
        <w:rPr>
          <w:rFonts w:ascii="Book Antiqua" w:eastAsia="Calibri" w:hAnsi="Book Antiqua" w:cs="Times New Roman"/>
          <w:b/>
          <w:color w:val="000000" w:themeColor="text1"/>
          <w:sz w:val="28"/>
          <w:szCs w:val="28"/>
          <w:u w:val="single"/>
        </w:rPr>
        <w:t xml:space="preserve">La distinction des meubles et des immeubles en droit patrimonial des couples </w:t>
      </w:r>
      <w:r w:rsidRPr="005C2BCA">
        <w:rPr>
          <w:rFonts w:ascii="Book Antiqua" w:hAnsi="Book Antiqua"/>
          <w:b/>
          <w:color w:val="000000" w:themeColor="text1"/>
          <w:sz w:val="28"/>
          <w:szCs w:val="28"/>
          <w:u w:val="single"/>
        </w:rPr>
        <w:br/>
      </w:r>
      <w:r w:rsidRPr="005C2BCA">
        <w:rPr>
          <w:rFonts w:ascii="Book Antiqua" w:eastAsia="Calibri" w:hAnsi="Book Antiqua" w:cs="Times New Roman"/>
          <w:b/>
          <w:color w:val="000000" w:themeColor="text1"/>
          <w:sz w:val="28"/>
          <w:szCs w:val="28"/>
          <w:u w:val="single"/>
        </w:rPr>
        <w:t>à l'épreuve de la société civile immobilière</w:t>
      </w:r>
    </w:p>
    <w:p w:rsidR="005C2BCA" w:rsidRPr="00D40594" w:rsidRDefault="005C2BCA" w:rsidP="005C2BCA">
      <w:pPr>
        <w:jc w:val="center"/>
        <w:rPr>
          <w:rFonts w:ascii="Book Antiqua" w:eastAsia="Calibri" w:hAnsi="Book Antiqua" w:cs="Times New Roman"/>
          <w:i/>
        </w:rPr>
      </w:pPr>
      <w:r w:rsidRPr="00D40594">
        <w:rPr>
          <w:rFonts w:ascii="Book Antiqua" w:eastAsia="Calibri" w:hAnsi="Book Antiqua" w:cs="Times New Roman"/>
          <w:b/>
          <w:i/>
        </w:rPr>
        <w:t xml:space="preserve">Ludovic </w:t>
      </w:r>
      <w:r w:rsidRPr="00D40594">
        <w:rPr>
          <w:rFonts w:ascii="Book Antiqua" w:hAnsi="Book Antiqua"/>
          <w:b/>
          <w:i/>
        </w:rPr>
        <w:t>FROMENT</w:t>
      </w:r>
      <w:r w:rsidRPr="00D40594">
        <w:rPr>
          <w:rFonts w:ascii="Book Antiqua" w:eastAsia="Calibri" w:hAnsi="Book Antiqua" w:cs="Times New Roman"/>
          <w:i/>
        </w:rPr>
        <w:t>, Notaire à Suresnes</w:t>
      </w:r>
    </w:p>
    <w:p w:rsidR="00637046" w:rsidRPr="005B26BB" w:rsidRDefault="00637046" w:rsidP="00637046">
      <w:pPr>
        <w:autoSpaceDE w:val="0"/>
        <w:autoSpaceDN w:val="0"/>
        <w:adjustRightInd w:val="0"/>
        <w:jc w:val="center"/>
        <w:rPr>
          <w:rFonts w:ascii="Book Antiqua" w:hAnsi="Book Antiqua" w:cs="Book Antiqua"/>
          <w:i/>
          <w:iCs/>
          <w:color w:val="943634" w:themeColor="accent2" w:themeShade="BF"/>
          <w:sz w:val="40"/>
          <w:szCs w:val="40"/>
        </w:rPr>
      </w:pPr>
    </w:p>
    <w:p w:rsidR="00637046" w:rsidRPr="00637046" w:rsidRDefault="00637046" w:rsidP="005C2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 Antiqua" w:hAnsi="Book Antiqua" w:cs="Book Antiqua"/>
          <w:b/>
          <w:i/>
          <w:iCs/>
          <w:color w:val="943634" w:themeColor="accent2" w:themeShade="BF"/>
          <w:sz w:val="40"/>
          <w:szCs w:val="40"/>
        </w:rPr>
      </w:pPr>
      <w:r w:rsidRPr="001A1BD0">
        <w:rPr>
          <w:rFonts w:ascii="Book Antiqua" w:hAnsi="Book Antiqua" w:cs="Book Antiqua"/>
          <w:b/>
          <w:i/>
          <w:iCs/>
          <w:color w:val="943634" w:themeColor="accent2" w:themeShade="BF"/>
          <w:sz w:val="40"/>
          <w:szCs w:val="40"/>
        </w:rPr>
        <w:t>Jeudi 1</w:t>
      </w:r>
      <w:r w:rsidRPr="00637046">
        <w:rPr>
          <w:rFonts w:ascii="Book Antiqua" w:hAnsi="Book Antiqua" w:cs="Book Antiqua"/>
          <w:b/>
          <w:i/>
          <w:iCs/>
          <w:color w:val="943634" w:themeColor="accent2" w:themeShade="BF"/>
          <w:sz w:val="40"/>
          <w:szCs w:val="40"/>
        </w:rPr>
        <w:t>8 décembre 2014 1</w:t>
      </w:r>
      <w:r w:rsidRPr="001A1BD0">
        <w:rPr>
          <w:rFonts w:ascii="Book Antiqua" w:hAnsi="Book Antiqua" w:cs="Book Antiqua"/>
          <w:b/>
          <w:i/>
          <w:iCs/>
          <w:color w:val="943634" w:themeColor="accent2" w:themeShade="BF"/>
          <w:sz w:val="40"/>
          <w:szCs w:val="40"/>
        </w:rPr>
        <w:t>7h00</w:t>
      </w:r>
    </w:p>
    <w:p w:rsidR="00637046" w:rsidRDefault="00637046" w:rsidP="005C2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 Antiqua" w:hAnsi="Book Antiqua" w:cs="Book Antiqua"/>
          <w:bCs/>
          <w:color w:val="943634" w:themeColor="accent2" w:themeShade="BF"/>
          <w:sz w:val="40"/>
          <w:szCs w:val="40"/>
        </w:rPr>
      </w:pPr>
      <w:r w:rsidRPr="005C2BCA">
        <w:rPr>
          <w:rFonts w:ascii="Book Antiqua" w:hAnsi="Book Antiqua" w:cs="Book Antiqua"/>
          <w:bCs/>
          <w:color w:val="943634" w:themeColor="accent2" w:themeShade="BF"/>
          <w:sz w:val="40"/>
          <w:szCs w:val="40"/>
        </w:rPr>
        <w:t>Salle d</w:t>
      </w:r>
      <w:r w:rsidR="00943A5B" w:rsidRPr="005C2BCA">
        <w:rPr>
          <w:rFonts w:ascii="Book Antiqua" w:hAnsi="Book Antiqua" w:cs="Book Antiqua"/>
          <w:bCs/>
          <w:color w:val="943634" w:themeColor="accent2" w:themeShade="BF"/>
          <w:sz w:val="40"/>
          <w:szCs w:val="40"/>
        </w:rPr>
        <w:t xml:space="preserve">es conférences </w:t>
      </w:r>
      <w:r w:rsidRPr="005C2BCA">
        <w:rPr>
          <w:rFonts w:ascii="Book Antiqua" w:hAnsi="Book Antiqua" w:cs="Book Antiqua"/>
          <w:bCs/>
          <w:color w:val="943634" w:themeColor="accent2" w:themeShade="BF"/>
          <w:sz w:val="40"/>
          <w:szCs w:val="40"/>
        </w:rPr>
        <w:t>F 352</w:t>
      </w:r>
    </w:p>
    <w:p w:rsidR="005B26BB" w:rsidRPr="005B26BB" w:rsidRDefault="005B26BB" w:rsidP="005C2B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 Antiqua" w:hAnsi="Book Antiqua" w:cs="Book Antiqua"/>
          <w:color w:val="943634" w:themeColor="accent2" w:themeShade="BF"/>
          <w:sz w:val="28"/>
          <w:szCs w:val="28"/>
        </w:rPr>
      </w:pPr>
      <w:r>
        <w:rPr>
          <w:rFonts w:ascii="Book Antiqua" w:hAnsi="Book Antiqua" w:cs="Book Antiqua"/>
          <w:color w:val="943634" w:themeColor="accent2" w:themeShade="BF"/>
          <w:sz w:val="28"/>
          <w:szCs w:val="28"/>
        </w:rPr>
        <w:t>Université Paris Ouest Nanterre La Défense</w:t>
      </w:r>
    </w:p>
    <w:p w:rsidR="00D40594" w:rsidRPr="00DD3E9D" w:rsidRDefault="00D40594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b/>
          <w:bCs/>
          <w:color w:val="000000"/>
          <w:sz w:val="18"/>
          <w:szCs w:val="18"/>
        </w:rPr>
      </w:pPr>
    </w:p>
    <w:p w:rsidR="00DD3E9D" w:rsidRDefault="00DD3E9D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b/>
          <w:bCs/>
          <w:color w:val="000000"/>
          <w:sz w:val="28"/>
          <w:szCs w:val="28"/>
        </w:rPr>
      </w:pPr>
    </w:p>
    <w:p w:rsidR="001A1BD0" w:rsidRPr="00D40594" w:rsidRDefault="00D40594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b/>
          <w:color w:val="000000"/>
          <w:sz w:val="24"/>
          <w:szCs w:val="24"/>
        </w:rPr>
      </w:pPr>
      <w:r w:rsidRPr="00D40594">
        <w:rPr>
          <w:rFonts w:ascii="Book Antiqua" w:hAnsi="Book Antiqua" w:cs="Book Antiqua"/>
          <w:b/>
          <w:color w:val="000000"/>
          <w:sz w:val="24"/>
          <w:szCs w:val="24"/>
        </w:rPr>
        <w:t>Conférence habilitée au titre de la formation continue</w:t>
      </w:r>
    </w:p>
    <w:p w:rsidR="00D40594" w:rsidRDefault="00D40594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color w:val="000000"/>
          <w:sz w:val="24"/>
          <w:szCs w:val="24"/>
        </w:rPr>
      </w:pPr>
      <w:r>
        <w:rPr>
          <w:rFonts w:ascii="Book Antiqua" w:hAnsi="Book Antiqua" w:cs="Book Antiqua"/>
          <w:color w:val="000000"/>
          <w:sz w:val="24"/>
          <w:szCs w:val="24"/>
        </w:rPr>
        <w:t>Entrée gratuite</w:t>
      </w:r>
    </w:p>
    <w:p w:rsidR="00D40594" w:rsidRDefault="00D40594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b/>
          <w:color w:val="943634" w:themeColor="accent2" w:themeShade="BF"/>
          <w:sz w:val="24"/>
          <w:szCs w:val="24"/>
        </w:rPr>
      </w:pPr>
      <w:r w:rsidRPr="009166E9">
        <w:rPr>
          <w:rFonts w:ascii="Book Antiqua" w:hAnsi="Book Antiqua" w:cs="Book Antiqua"/>
          <w:b/>
          <w:color w:val="943634" w:themeColor="accent2" w:themeShade="BF"/>
          <w:sz w:val="24"/>
          <w:szCs w:val="24"/>
        </w:rPr>
        <w:t>Inscription : 01.40.97.71.97 - zsaidi@u-paris10.fr</w:t>
      </w:r>
    </w:p>
    <w:p w:rsidR="005B26BB" w:rsidRPr="00DD3E9D" w:rsidRDefault="005B26BB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b/>
          <w:color w:val="943634" w:themeColor="accent2" w:themeShade="BF"/>
          <w:sz w:val="20"/>
          <w:szCs w:val="20"/>
        </w:rPr>
      </w:pPr>
    </w:p>
    <w:p w:rsidR="005B26BB" w:rsidRDefault="005B26BB" w:rsidP="001A1BD0">
      <w:pPr>
        <w:autoSpaceDE w:val="0"/>
        <w:autoSpaceDN w:val="0"/>
        <w:adjustRightInd w:val="0"/>
        <w:jc w:val="center"/>
        <w:rPr>
          <w:rFonts w:ascii="Book Antiqua" w:hAnsi="Book Antiqua" w:cs="Book Antiqua"/>
          <w:b/>
          <w:color w:val="943634" w:themeColor="accent2" w:themeShade="BF"/>
          <w:sz w:val="24"/>
          <w:szCs w:val="24"/>
        </w:rPr>
      </w:pPr>
    </w:p>
    <w:p w:rsidR="005B26BB" w:rsidRPr="00637046" w:rsidRDefault="005B26BB" w:rsidP="005C2BCA">
      <w:pPr>
        <w:rPr>
          <w:rFonts w:ascii="Book Antiqua" w:hAnsi="Book Antiqua"/>
        </w:rPr>
      </w:pPr>
      <w:r w:rsidRPr="005B26BB">
        <w:rPr>
          <w:rFonts w:ascii="Book Antiqua" w:hAnsi="Book Antiqua"/>
        </w:rPr>
        <w:drawing>
          <wp:inline distT="0" distB="0" distL="0" distR="0">
            <wp:extent cx="2000250" cy="751225"/>
            <wp:effectExtent l="19050" t="0" r="0" b="0"/>
            <wp:docPr id="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962" cy="75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5B26BB">
        <w:rPr>
          <w:rFonts w:ascii="Book Antiqua" w:hAnsi="Book Antiqua"/>
        </w:rPr>
        <w:drawing>
          <wp:inline distT="0" distB="0" distL="0" distR="0">
            <wp:extent cx="1095375" cy="906246"/>
            <wp:effectExtent l="19050" t="0" r="9525" b="0"/>
            <wp:docPr id="2" name="Image 9" descr="C:\Users\VMBB\AppData\Local\Microsoft\Windows\Temporary Internet Files\Content.IE5\4FB42KUC\logo_CEDAG (1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MBB\AppData\Local\Microsoft\Windows\Temporary Internet Files\Content.IE5\4FB42KUC\logo_CEDAG (1)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676" cy="908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Pr="005B26BB">
        <w:rPr>
          <w:rFonts w:ascii="Book Antiqua" w:hAnsi="Book Antiqua"/>
        </w:rPr>
        <w:drawing>
          <wp:inline distT="0" distB="0" distL="0" distR="0">
            <wp:extent cx="1471374" cy="686993"/>
            <wp:effectExtent l="19050" t="0" r="0" b="0"/>
            <wp:docPr id="5" name="Image 1" descr="C:\Users\VMBB\AppData\Local\Microsoft\Windows\Temporary Internet Files\Content.IE5\A87XCSX5\lsj-n_cad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MBB\AppData\Local\Microsoft\Windows\Temporary Internet Files\Content.IE5\A87XCSX5\lsj-n_cadre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73" cy="68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26BB" w:rsidRPr="00637046" w:rsidSect="005B26BB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altName w:val="Gabriola"/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A1BD0"/>
    <w:rsid w:val="00010282"/>
    <w:rsid w:val="000E0FF2"/>
    <w:rsid w:val="001A1BD0"/>
    <w:rsid w:val="001A765E"/>
    <w:rsid w:val="00316C53"/>
    <w:rsid w:val="00365610"/>
    <w:rsid w:val="0039640C"/>
    <w:rsid w:val="003B06B1"/>
    <w:rsid w:val="00417DE7"/>
    <w:rsid w:val="00516951"/>
    <w:rsid w:val="00527E90"/>
    <w:rsid w:val="005B26BB"/>
    <w:rsid w:val="005C2BCA"/>
    <w:rsid w:val="005C3C9B"/>
    <w:rsid w:val="00637046"/>
    <w:rsid w:val="009166E9"/>
    <w:rsid w:val="00942CEB"/>
    <w:rsid w:val="00943A5B"/>
    <w:rsid w:val="0094541B"/>
    <w:rsid w:val="00D04A00"/>
    <w:rsid w:val="00D40594"/>
    <w:rsid w:val="00DD33C3"/>
    <w:rsid w:val="00DD3E9D"/>
    <w:rsid w:val="00DD40FD"/>
    <w:rsid w:val="00DE5C54"/>
    <w:rsid w:val="00F83710"/>
    <w:rsid w:val="00FB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9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1B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1B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1BD0"/>
    <w:pPr>
      <w:autoSpaceDE w:val="0"/>
      <w:autoSpaceDN w:val="0"/>
      <w:adjustRightInd w:val="0"/>
    </w:pPr>
    <w:rPr>
      <w:rFonts w:ascii="Gabriola" w:hAnsi="Gabriola" w:cs="Gabriol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VMBB</dc:creator>
  <cp:lastModifiedBy>VMBB</cp:lastModifiedBy>
  <cp:revision>4</cp:revision>
  <cp:lastPrinted>2014-11-28T08:42:00Z</cp:lastPrinted>
  <dcterms:created xsi:type="dcterms:W3CDTF">2014-11-28T09:00:00Z</dcterms:created>
  <dcterms:modified xsi:type="dcterms:W3CDTF">2014-11-28T09:06:00Z</dcterms:modified>
</cp:coreProperties>
</file>